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51" w:rsidRPr="00DA0C06" w:rsidRDefault="00BC704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0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 </w:t>
      </w:r>
      <w:r w:rsidR="00206B82" w:rsidRPr="00DA0C06">
        <w:rPr>
          <w:rFonts w:ascii="Times New Roman" w:hAnsi="Times New Roman" w:cs="Times New Roman"/>
          <w:b/>
          <w:sz w:val="24"/>
          <w:szCs w:val="24"/>
          <w:lang w:val="ru-RU"/>
        </w:rPr>
        <w:t>медицинской</w:t>
      </w:r>
      <w:r w:rsidRPr="00DA0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аптечки и случаи оказания первой помощи</w:t>
      </w:r>
    </w:p>
    <w:p w:rsidR="00BC7046" w:rsidRPr="00206B82" w:rsidRDefault="00BC70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C7046" w:rsidRPr="00DA0C06" w:rsidRDefault="00DA0C06" w:rsidP="00DA0C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0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BC7046" w:rsidRPr="00DA0C06">
        <w:rPr>
          <w:rFonts w:ascii="Times New Roman" w:hAnsi="Times New Roman" w:cs="Times New Roman"/>
          <w:b/>
          <w:sz w:val="24"/>
          <w:szCs w:val="24"/>
          <w:lang w:val="ru-RU"/>
        </w:rPr>
        <w:t>Состав групповой аптечки</w:t>
      </w:r>
    </w:p>
    <w:p w:rsidR="00BC7046" w:rsidRPr="00206B82" w:rsidRDefault="00BC7046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1790"/>
        <w:gridCol w:w="1711"/>
        <w:gridCol w:w="840"/>
        <w:gridCol w:w="746"/>
        <w:gridCol w:w="1139"/>
        <w:gridCol w:w="1939"/>
      </w:tblGrid>
      <w:tr w:rsidR="003C336A" w:rsidRPr="00206B82" w:rsidTr="00DC4C9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Группа ЛС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ЛС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Торговое 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Форма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Дози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Коли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Назначение</w:t>
            </w:r>
          </w:p>
        </w:tc>
      </w:tr>
      <w:tr w:rsidR="003C336A" w:rsidRPr="00040AB6" w:rsidTr="003C336A">
        <w:trPr>
          <w:trHeight w:val="31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Антисептики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перекись водорода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перекись водорода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р-р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3%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 мл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раны (в т.ч. на слизистых)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повидон-йод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бетадин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мазь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ранки, царапины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изопропиловый спирт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софт-целлин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</w:t>
            </w:r>
            <w:r w:rsidR="003C336A"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дезинфекция кожи, поверхностей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НПВС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ибупрофен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нурофен-форте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табл.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400 мг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 шт.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боль, лихорадка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парацетамол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табл.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500 мг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боль, лихорадка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ибупрофен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долгит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 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ушибы, вывихи, растяжения</w:t>
            </w:r>
          </w:p>
        </w:tc>
      </w:tr>
      <w:tr w:rsidR="003C336A" w:rsidRPr="00206B82" w:rsidTr="008009D7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80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Отхарки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вающие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экстракты растений + левоментол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доктор мом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пас</w:t>
            </w:r>
            <w:r w:rsidR="003C336A"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тилки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 + 7 мг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 шт.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кашель, воспаление дыхательных путей</w:t>
            </w:r>
          </w:p>
        </w:tc>
      </w:tr>
      <w:tr w:rsidR="003C336A" w:rsidRPr="00206B82" w:rsidTr="008009D7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80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Антигиста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минные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лоратадин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лорагексал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табл.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мг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 шт.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алергия, зуд</w:t>
            </w:r>
          </w:p>
        </w:tc>
      </w:tr>
      <w:tr w:rsidR="003C336A" w:rsidRPr="00206B82" w:rsidTr="008009D7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80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Спазмолитики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дротаверин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дротаверин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табл.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 мг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 шт.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спастическая боль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Энтеросор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бенты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диосмектит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смекта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пакетиков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диарея, диспепсия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Противо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диарейные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лоперамид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лоперамид-акрихин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капс.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мг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шт.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диарея</w:t>
            </w:r>
          </w:p>
        </w:tc>
      </w:tr>
      <w:tr w:rsidR="003C336A" w:rsidRPr="00206B82" w:rsidTr="008009D7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80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Репаранты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декспантенол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декспантенол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мазь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5%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25 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дерматиты, ожоги, открытые раны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Глюко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кортикоиды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мазь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1%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дерматиты, укусы насекомых</w:t>
            </w:r>
          </w:p>
        </w:tc>
      </w:tr>
      <w:tr w:rsidR="003C336A" w:rsidRPr="00206B82" w:rsidTr="008009D7">
        <w:trPr>
          <w:trHeight w:val="315"/>
        </w:trPr>
        <w:tc>
          <w:tcPr>
            <w:tcW w:w="0" w:type="auto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80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Офтальмологи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ческие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сульфацетамид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сульфацил натрия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капли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20%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мл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конъюнктивиты, профилактика инфекции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Антимикроб</w:t>
            </w:r>
            <w:r w:rsidR="003C336A"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</w:t>
            </w: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ные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хлорамфеникол + метилурацил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левомеколь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мазь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+ 7,5 мг/г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 г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инфицированные раны</w:t>
            </w: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доксициклин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 мг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профилактика клещевых инфекций</w:t>
            </w:r>
          </w:p>
        </w:tc>
      </w:tr>
      <w:tr w:rsidR="003F4CAC" w:rsidRPr="00206B82" w:rsidTr="008009D7">
        <w:trPr>
          <w:trHeight w:val="31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F4CAC" w:rsidRPr="00206B82" w:rsidRDefault="003F4CAC" w:rsidP="0080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Перевязочные средства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салфетки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2D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гидрогелевые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противоожого</w:t>
            </w:r>
            <w:r w:rsidR="002D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вые</w:t>
            </w:r>
            <w:r w:rsidR="002D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18Х13 см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шт.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4CAC" w:rsidRPr="00206B82" w:rsidTr="003F4CAC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бинт 14Х700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4CAC" w:rsidRPr="00206B82" w:rsidTr="003E3B1D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салфетки марлевые 45Х29 см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4CAC" w:rsidRPr="00206B82" w:rsidTr="003E3B1D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бинт липкий 10Х200 см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4CAC" w:rsidRPr="00206B82" w:rsidTr="003E3B1D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пластырь бактерицидный 6Х10 см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4CAC" w:rsidRPr="00206B82" w:rsidTr="003E3B1D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пластырь рулонный 2Х500 см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4CAC" w:rsidRPr="00206B82" w:rsidTr="003E3B1D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лента для тейпирования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F4CAC" w:rsidRPr="00206B82" w:rsidTr="003E3B1D">
        <w:trPr>
          <w:trHeight w:val="31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эластичный бинт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4CAC" w:rsidRPr="00206B82" w:rsidRDefault="003F4CAC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Медицинские изделия и прочее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перчатки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пары</w:t>
            </w:r>
          </w:p>
        </w:tc>
        <w:tc>
          <w:tcPr>
            <w:tcW w:w="0" w:type="auto"/>
            <w:tcBorders>
              <w:top w:val="doub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ножницы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пинцет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C336A" w:rsidRPr="00206B82" w:rsidTr="003C336A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маркер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C7046" w:rsidRPr="00206B82" w:rsidRDefault="00BC7046" w:rsidP="00C50A7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C7046" w:rsidRPr="00206B82" w:rsidRDefault="00BC704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D6917" w:rsidRPr="00206B82" w:rsidRDefault="007D6917" w:rsidP="00130440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Перечисленные препараты разрешены к применению </w:t>
      </w:r>
      <w:r w:rsidRPr="00206B82">
        <w:rPr>
          <w:rFonts w:ascii="Times New Roman" w:hAnsi="Times New Roman" w:cs="Times New Roman"/>
          <w:sz w:val="24"/>
          <w:szCs w:val="24"/>
        </w:rPr>
        <w:t>WADA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>. На единственный рецептурный препарат в составе аптечки – доксициклин – был выписан рецепт инфекционистом, получена консультация по схеме применения антибиотика.</w:t>
      </w:r>
    </w:p>
    <w:p w:rsidR="00575394" w:rsidRPr="00206B82" w:rsidRDefault="007D6917" w:rsidP="007D69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Аптечка была упакована в герметично закрывающийся контейнер для пищевых </w:t>
      </w:r>
      <w:r w:rsidR="002D0893" w:rsidRPr="002D0893">
        <w:rPr>
          <w:rFonts w:ascii="Times New Roman" w:hAnsi="Times New Roman" w:cs="Times New Roman"/>
          <w:sz w:val="24"/>
          <w:szCs w:val="24"/>
          <w:lang w:val="ru-RU"/>
        </w:rPr>
        <w:t>продуктов</w:t>
      </w:r>
      <w:r w:rsidR="002D0893">
        <w:rPr>
          <w:rFonts w:ascii="Times New Roman" w:hAnsi="Times New Roman" w:cs="Times New Roman"/>
          <w:sz w:val="24"/>
          <w:szCs w:val="24"/>
          <w:lang w:val="ru-RU"/>
        </w:rPr>
        <w:t xml:space="preserve"> объёмом 2,75 литра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. К препаратам были приложены инструкции по их применению. Вес аптечки составил </w:t>
      </w:r>
      <w:r w:rsidR="00130440" w:rsidRPr="00206B82">
        <w:rPr>
          <w:rFonts w:ascii="Times New Roman" w:hAnsi="Times New Roman" w:cs="Times New Roman"/>
          <w:sz w:val="24"/>
          <w:szCs w:val="24"/>
          <w:lang w:val="ru-RU"/>
        </w:rPr>
        <w:t>1190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граммов.</w:t>
      </w:r>
    </w:p>
    <w:p w:rsidR="00575394" w:rsidRPr="00206B82" w:rsidRDefault="005753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75394" w:rsidRPr="00DA0C06" w:rsidRDefault="00DA0C06" w:rsidP="00DA0C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0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1F5241" w:rsidRPr="00DA0C06">
        <w:rPr>
          <w:rFonts w:ascii="Times New Roman" w:hAnsi="Times New Roman" w:cs="Times New Roman"/>
          <w:b/>
          <w:sz w:val="24"/>
          <w:szCs w:val="24"/>
          <w:lang w:val="ru-RU"/>
        </w:rPr>
        <w:t>Рекомендованный состав личной аптечки</w:t>
      </w:r>
    </w:p>
    <w:p w:rsidR="00575394" w:rsidRPr="00206B82" w:rsidRDefault="00575394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994"/>
      </w:tblGrid>
      <w:tr w:rsidR="00575394" w:rsidRPr="00DA0C06" w:rsidTr="00DC4C93">
        <w:trPr>
          <w:trHeight w:val="315"/>
        </w:trPr>
        <w:tc>
          <w:tcPr>
            <w:tcW w:w="3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бинт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шт</w:t>
            </w:r>
          </w:p>
        </w:tc>
      </w:tr>
      <w:tr w:rsidR="00575394" w:rsidRPr="00DA0C06" w:rsidTr="00DC4C9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салфетки марлевые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0-1 шт.</w:t>
            </w:r>
          </w:p>
        </w:tc>
      </w:tr>
      <w:tr w:rsidR="00575394" w:rsidRPr="00DA0C06" w:rsidTr="00DC4C9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активированный уголь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табл.</w:t>
            </w:r>
          </w:p>
        </w:tc>
      </w:tr>
      <w:tr w:rsidR="00575394" w:rsidRPr="00DA0C06" w:rsidTr="00DC4C9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перекись водорода/хлоргексидин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шт.</w:t>
            </w:r>
          </w:p>
        </w:tc>
      </w:tr>
      <w:tr w:rsidR="001F5241" w:rsidRPr="00206B82" w:rsidTr="00DC4C9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F5241" w:rsidRPr="00206B82" w:rsidRDefault="001F5241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солнцезащитный крем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F5241" w:rsidRPr="00206B82" w:rsidRDefault="001F5241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575394" w:rsidRPr="00206B82" w:rsidTr="00DC4C93">
        <w:trPr>
          <w:trHeight w:val="315"/>
        </w:trPr>
        <w:tc>
          <w:tcPr>
            <w:tcW w:w="37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личные лекарства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75394" w:rsidRPr="00206B82" w:rsidRDefault="00575394" w:rsidP="0057539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75394" w:rsidRPr="00206B82" w:rsidRDefault="0057539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F5241" w:rsidRPr="00DA0C06" w:rsidRDefault="00DA0C06" w:rsidP="00DA0C0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0C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1F5241" w:rsidRPr="00DA0C06">
        <w:rPr>
          <w:rFonts w:ascii="Times New Roman" w:hAnsi="Times New Roman" w:cs="Times New Roman"/>
          <w:b/>
          <w:sz w:val="24"/>
          <w:szCs w:val="24"/>
          <w:lang w:val="ru-RU"/>
        </w:rPr>
        <w:t>Случаи оказания первой помощи</w:t>
      </w:r>
    </w:p>
    <w:p w:rsidR="00AF4095" w:rsidRPr="00206B82" w:rsidRDefault="00AF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F4095" w:rsidRPr="00206B82" w:rsidRDefault="00AF4095" w:rsidP="00206B82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Внутрь </w:t>
      </w:r>
      <w:r w:rsidR="00DA0C06">
        <w:rPr>
          <w:rFonts w:ascii="Times New Roman" w:hAnsi="Times New Roman" w:cs="Times New Roman"/>
          <w:sz w:val="24"/>
          <w:szCs w:val="24"/>
          <w:lang w:val="ru-RU"/>
        </w:rPr>
        <w:t xml:space="preserve">лекарственные 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препараты </w:t>
      </w:r>
      <w:r w:rsidR="00046CDC" w:rsidRPr="00206B82">
        <w:rPr>
          <w:rFonts w:ascii="Times New Roman" w:hAnsi="Times New Roman" w:cs="Times New Roman"/>
          <w:sz w:val="24"/>
          <w:szCs w:val="24"/>
          <w:lang w:val="ru-RU"/>
        </w:rPr>
        <w:t>применялись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0C06">
        <w:rPr>
          <w:rFonts w:ascii="Times New Roman" w:hAnsi="Times New Roman" w:cs="Times New Roman"/>
          <w:sz w:val="24"/>
          <w:szCs w:val="24"/>
          <w:lang w:val="ru-RU"/>
        </w:rPr>
        <w:t>трижды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F4095" w:rsidRPr="00206B82" w:rsidRDefault="00AF4095" w:rsidP="00A05E4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- ибупрофен 400 мг в сочетании с парацетамолом 500 мг при мигрени (симптомы мигрени от этого не </w:t>
      </w:r>
      <w:r w:rsidR="006A4889">
        <w:rPr>
          <w:rFonts w:ascii="Times New Roman" w:hAnsi="Times New Roman" w:cs="Times New Roman"/>
          <w:sz w:val="24"/>
          <w:szCs w:val="24"/>
          <w:lang w:val="ru-RU"/>
        </w:rPr>
        <w:t>прошли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полностью, но </w:t>
      </w:r>
      <w:r w:rsidR="00046CDC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головная 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боль значительно </w:t>
      </w:r>
      <w:r w:rsidR="006A4889">
        <w:rPr>
          <w:rFonts w:ascii="Times New Roman" w:hAnsi="Times New Roman" w:cs="Times New Roman"/>
          <w:sz w:val="24"/>
          <w:szCs w:val="24"/>
          <w:lang w:val="ru-RU"/>
        </w:rPr>
        <w:t>уменьшилась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</w:p>
    <w:p w:rsidR="00AF4095" w:rsidRPr="00206B82" w:rsidRDefault="00AF4095" w:rsidP="00A05E4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- дротаверин 160 мг (4 таблетки) при дискомфорте в </w:t>
      </w:r>
      <w:r w:rsidR="00DC4C93">
        <w:rPr>
          <w:rFonts w:ascii="Times New Roman" w:hAnsi="Times New Roman" w:cs="Times New Roman"/>
          <w:sz w:val="24"/>
          <w:szCs w:val="24"/>
          <w:lang w:val="ru-RU"/>
        </w:rPr>
        <w:t>животе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, судя по описанию ощущений, </w:t>
      </w:r>
      <w:r w:rsidR="00DC4C93">
        <w:rPr>
          <w:rFonts w:ascii="Times New Roman" w:hAnsi="Times New Roman" w:cs="Times New Roman"/>
          <w:sz w:val="24"/>
          <w:szCs w:val="24"/>
          <w:lang w:val="ru-RU"/>
        </w:rPr>
        <w:t>вызванного спазмом гладкой мускулатуры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7A38" w:rsidRPr="00206B82">
        <w:rPr>
          <w:rFonts w:ascii="Times New Roman" w:hAnsi="Times New Roman" w:cs="Times New Roman"/>
          <w:sz w:val="24"/>
          <w:szCs w:val="24"/>
          <w:lang w:val="ru-RU"/>
        </w:rPr>
        <w:t>(самочувствие участника после приёма таблеток улучшилось, что подтвердило предположение о</w:t>
      </w:r>
      <w:r w:rsidR="00DC4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3CAB">
        <w:rPr>
          <w:rFonts w:ascii="Times New Roman" w:hAnsi="Times New Roman" w:cs="Times New Roman"/>
          <w:sz w:val="24"/>
          <w:szCs w:val="24"/>
          <w:lang w:val="ru-RU"/>
        </w:rPr>
        <w:t>причине</w:t>
      </w:r>
      <w:r w:rsidR="00717A38" w:rsidRPr="00206B82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717A38" w:rsidRPr="00206B82" w:rsidRDefault="00717A38" w:rsidP="00A05E4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sz w:val="24"/>
          <w:szCs w:val="24"/>
          <w:lang w:val="ru-RU"/>
        </w:rPr>
        <w:lastRenderedPageBreak/>
        <w:t>- ибупрофен 400 мг при ушибе (описание происшестви</w:t>
      </w:r>
      <w:r w:rsidR="00046CDC" w:rsidRPr="00206B82">
        <w:rPr>
          <w:rFonts w:ascii="Times New Roman" w:hAnsi="Times New Roman" w:cs="Times New Roman"/>
          <w:sz w:val="24"/>
          <w:szCs w:val="24"/>
          <w:lang w:val="ru-RU"/>
        </w:rPr>
        <w:t>я –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ниже).</w:t>
      </w:r>
    </w:p>
    <w:p w:rsidR="00AF4095" w:rsidRPr="00206B82" w:rsidRDefault="00AF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F5241" w:rsidRPr="00206B82" w:rsidRDefault="00F65A0D" w:rsidP="00206B82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sz w:val="24"/>
          <w:szCs w:val="24"/>
          <w:lang w:val="ru-RU"/>
        </w:rPr>
        <w:t>Дважды</w:t>
      </w:r>
      <w:r w:rsidR="001F5241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пришлось оказывать помощь при падении с велосипеда. В первый раз падение произошло из-за резкого торможения после спуска на дороге с </w:t>
      </w:r>
      <w:r w:rsidR="008D2D3F" w:rsidRPr="003F4CAC">
        <w:rPr>
          <w:rFonts w:ascii="Times New Roman" w:hAnsi="Times New Roman" w:cs="Times New Roman"/>
          <w:sz w:val="24"/>
          <w:szCs w:val="24"/>
          <w:lang w:val="ru-RU"/>
        </w:rPr>
        <w:t>мелкокаменистым</w:t>
      </w:r>
      <w:r w:rsidR="001F5241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покрытием. Была получена ссадина на ладони. </w:t>
      </w:r>
      <w:r w:rsidR="008D2D3F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Обычно участница использовала велоперчатки, но эстетические побуждения заставили её снять перчатки, чтобы выровнять загар. </w:t>
      </w:r>
      <w:r w:rsidR="001F5241" w:rsidRPr="00206B82">
        <w:rPr>
          <w:rFonts w:ascii="Times New Roman" w:hAnsi="Times New Roman" w:cs="Times New Roman"/>
          <w:sz w:val="24"/>
          <w:szCs w:val="24"/>
          <w:lang w:val="ru-RU"/>
        </w:rPr>
        <w:t>Ранка обработана перекисью водорода, нанесён бетадин, ран</w:t>
      </w:r>
      <w:r w:rsidR="008D2D3F" w:rsidRPr="00206B82">
        <w:rPr>
          <w:rFonts w:ascii="Times New Roman" w:hAnsi="Times New Roman" w:cs="Times New Roman"/>
          <w:sz w:val="24"/>
          <w:szCs w:val="24"/>
          <w:lang w:val="ru-RU"/>
        </w:rPr>
        <w:t>ка закрыта пластырной повязкой.</w:t>
      </w:r>
      <w:r w:rsidR="004809F3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Впоследствии пластырь менялся по мере необходимости.</w:t>
      </w:r>
    </w:p>
    <w:p w:rsidR="00AF4095" w:rsidRPr="00206B82" w:rsidRDefault="008D2D3F" w:rsidP="00F65A0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Во второй раз падение произошло при затяжном спуске по асфальтовой дороге. К </w:t>
      </w:r>
      <w:r w:rsidR="00F65A0D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большому 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>счастью, в этот момент на дороге отсутствовали другие транспортные средства. Были получены ссадины в области правых коленного и локтевого сустав</w:t>
      </w:r>
      <w:r w:rsidR="00046CDC" w:rsidRPr="00206B82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, ушиб правого коленного сустава, а также ожог </w:t>
      </w:r>
      <w:r w:rsidR="00285300" w:rsidRPr="00206B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85300" w:rsidRPr="00206B8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85300" w:rsidRPr="00206B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85300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степени на левой голени 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от разогретого тормозного диска. </w:t>
      </w:r>
      <w:r w:rsidR="00BD5C3E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На место ожога была наложена противоожоговая повязка с хлоргексидином и лидокаином и зафиксирована </w:t>
      </w:r>
      <w:r w:rsidR="004C257C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марлевым </w:t>
      </w:r>
      <w:r w:rsidR="00BD5C3E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бинтом. Ссадины были промыты </w:t>
      </w:r>
      <w:r w:rsidR="00BD5C3E" w:rsidRPr="00F06A08">
        <w:rPr>
          <w:rFonts w:ascii="Times New Roman" w:hAnsi="Times New Roman" w:cs="Times New Roman"/>
          <w:sz w:val="24"/>
          <w:szCs w:val="24"/>
          <w:lang w:val="ru-RU"/>
        </w:rPr>
        <w:t>бутилированной</w:t>
      </w:r>
      <w:r w:rsidR="00BD5C3E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водой с мылом, продезинфицированы перекисью водорода и закрыты пластырными повязками, зафиксированными </w:t>
      </w:r>
      <w:r w:rsidR="00F65A0D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 </w:t>
      </w:r>
      <w:r w:rsidR="00BD5C3E" w:rsidRPr="00206B82">
        <w:rPr>
          <w:rFonts w:ascii="Times New Roman" w:hAnsi="Times New Roman" w:cs="Times New Roman"/>
          <w:sz w:val="24"/>
          <w:szCs w:val="24"/>
          <w:lang w:val="ru-RU"/>
        </w:rPr>
        <w:t>липким бинтом.</w:t>
      </w:r>
      <w:r w:rsidR="004809F3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Внутрь предложен ибупрофен 400 мг. </w:t>
      </w:r>
    </w:p>
    <w:p w:rsidR="00AF4095" w:rsidRPr="00206B82" w:rsidRDefault="00F74FF0" w:rsidP="0013044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49DE3E2" wp14:editId="483C353C">
            <wp:extent cx="4686300" cy="2633860"/>
            <wp:effectExtent l="0" t="0" r="0" b="0"/>
            <wp:docPr id="1" name="Picture 1" descr="D:\СГ\МКВ\УТП3\фотоАнтон\Крым_2020УТП\DSCN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Г\МКВ\УТП3\фотоАнтон\Крым_2020УТП\DSCN2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63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95" w:rsidRPr="00206B82" w:rsidRDefault="00AF409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D2D3F" w:rsidRPr="00206B82" w:rsidRDefault="004809F3" w:rsidP="00B31EDC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На следующее утро противоожоговая повязка была заменена. Также была заменена пластырная повязка ссадины на колене, самой большой по площади. </w:t>
      </w:r>
      <w:r w:rsidR="00DA0C0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72FCB" w:rsidRPr="00206B82">
        <w:rPr>
          <w:rFonts w:ascii="Times New Roman" w:hAnsi="Times New Roman" w:cs="Times New Roman"/>
          <w:sz w:val="24"/>
          <w:szCs w:val="24"/>
          <w:lang w:val="ru-RU"/>
        </w:rPr>
        <w:t>ластыри</w:t>
      </w:r>
      <w:r w:rsidR="00DA0C06">
        <w:rPr>
          <w:rFonts w:ascii="Times New Roman" w:hAnsi="Times New Roman" w:cs="Times New Roman"/>
          <w:sz w:val="24"/>
          <w:szCs w:val="24"/>
          <w:lang w:val="ru-RU"/>
        </w:rPr>
        <w:t xml:space="preserve"> на руке</w:t>
      </w:r>
      <w:r w:rsidR="00272FCB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было решено не отклеивать: они хорошо держались, а ссадины были поверхностные. На третий день</w:t>
      </w:r>
      <w:r w:rsidR="004C257C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(последний день похода)</w:t>
      </w:r>
      <w:r w:rsidR="00272FCB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на месте ожога начал отходить повреждённый эпидермис, на рану был нанесён бетадин, рана была прикрыта марлевой салфеткой, зафиксированной липким бинтом, чтобы повязка не смотрелась громоздко. В этом была ошибка, так как из-за попеременного сокращения и расслабления мышц голени </w:t>
      </w:r>
      <w:r w:rsidR="004C257C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при педалировании </w:t>
      </w:r>
      <w:r w:rsidR="006A4889">
        <w:rPr>
          <w:rFonts w:ascii="Times New Roman" w:hAnsi="Times New Roman" w:cs="Times New Roman"/>
          <w:sz w:val="24"/>
          <w:szCs w:val="24"/>
          <w:lang w:val="ru-RU"/>
        </w:rPr>
        <w:t>бинт</w:t>
      </w:r>
      <w:r w:rsidR="004C257C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отклеивал</w:t>
      </w:r>
      <w:r w:rsidR="006A4889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4C257C" w:rsidRPr="00206B82">
        <w:rPr>
          <w:rFonts w:ascii="Times New Roman" w:hAnsi="Times New Roman" w:cs="Times New Roman"/>
          <w:sz w:val="24"/>
          <w:szCs w:val="24"/>
          <w:lang w:val="ru-RU"/>
        </w:rPr>
        <w:t>. Пришлось останавливать</w:t>
      </w:r>
      <w:r w:rsidR="006A4889">
        <w:rPr>
          <w:rFonts w:ascii="Times New Roman" w:hAnsi="Times New Roman" w:cs="Times New Roman"/>
          <w:sz w:val="24"/>
          <w:szCs w:val="24"/>
          <w:lang w:val="ru-RU"/>
        </w:rPr>
        <w:t xml:space="preserve"> ход группы</w:t>
      </w:r>
      <w:r w:rsidR="004C257C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и фиксировать</w:t>
      </w:r>
      <w:r w:rsidR="006A4889">
        <w:rPr>
          <w:rFonts w:ascii="Times New Roman" w:hAnsi="Times New Roman" w:cs="Times New Roman"/>
          <w:sz w:val="24"/>
          <w:szCs w:val="24"/>
          <w:lang w:val="ru-RU"/>
        </w:rPr>
        <w:t xml:space="preserve"> повязку</w:t>
      </w:r>
      <w:r w:rsidR="004C257C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обычным рулонным пластырем: таким образом, </w:t>
      </w:r>
      <w:r w:rsidR="006A4889">
        <w:rPr>
          <w:rFonts w:ascii="Times New Roman" w:hAnsi="Times New Roman" w:cs="Times New Roman"/>
          <w:sz w:val="24"/>
          <w:szCs w:val="24"/>
          <w:lang w:val="ru-RU"/>
        </w:rPr>
        <w:t xml:space="preserve">сомнительная </w:t>
      </w:r>
      <w:r w:rsidR="004C257C" w:rsidRPr="00206B82">
        <w:rPr>
          <w:rFonts w:ascii="Times New Roman" w:hAnsi="Times New Roman" w:cs="Times New Roman"/>
          <w:sz w:val="24"/>
          <w:szCs w:val="24"/>
          <w:lang w:val="ru-RU"/>
        </w:rPr>
        <w:t>попытка повысить эстетичность повязки привела к противоположному эффекту.</w:t>
      </w:r>
    </w:p>
    <w:p w:rsidR="00F868E1" w:rsidRPr="00206B82" w:rsidRDefault="00F868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30440" w:rsidRDefault="00F868E1" w:rsidP="00206B82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sz w:val="24"/>
          <w:szCs w:val="24"/>
          <w:lang w:val="ru-RU"/>
        </w:rPr>
        <w:t>Остальные случаи включали использование бетадина для мелких ранок</w:t>
      </w:r>
      <w:r w:rsidR="00130440" w:rsidRPr="00206B82">
        <w:rPr>
          <w:rFonts w:ascii="Times New Roman" w:hAnsi="Times New Roman" w:cs="Times New Roman"/>
          <w:sz w:val="24"/>
          <w:szCs w:val="24"/>
          <w:lang w:val="ru-RU"/>
        </w:rPr>
        <w:t>, декспантенола при незначительном солнечном ожоге.</w:t>
      </w:r>
    </w:p>
    <w:p w:rsidR="006123C3" w:rsidRDefault="006123C3" w:rsidP="00206B82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123C3" w:rsidRPr="00F06A08" w:rsidRDefault="006123C3" w:rsidP="006123C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sz w:val="24"/>
          <w:szCs w:val="24"/>
          <w:lang w:val="ru-RU"/>
        </w:rPr>
        <w:t>Для профилактики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болей в коленных суставах применяли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тейп-ленту. Од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участни</w:t>
      </w:r>
      <w:r>
        <w:rPr>
          <w:rFonts w:ascii="Times New Roman" w:hAnsi="Times New Roman" w:cs="Times New Roman"/>
          <w:sz w:val="24"/>
          <w:szCs w:val="24"/>
          <w:lang w:val="ru-RU"/>
        </w:rPr>
        <w:t>ца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A08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9D3CAB">
        <w:rPr>
          <w:rFonts w:ascii="Times New Roman" w:hAnsi="Times New Roman" w:cs="Times New Roman"/>
          <w:sz w:val="24"/>
          <w:szCs w:val="24"/>
          <w:lang w:val="ru-RU"/>
        </w:rPr>
        <w:t>правое</w:t>
      </w:r>
      <w:r w:rsidRPr="00F06A08">
        <w:rPr>
          <w:rFonts w:ascii="Times New Roman" w:hAnsi="Times New Roman" w:cs="Times New Roman"/>
          <w:sz w:val="24"/>
          <w:szCs w:val="24"/>
          <w:lang w:val="ru-RU"/>
        </w:rPr>
        <w:t xml:space="preserve"> колено наклеила тейп ещё до похода, на </w:t>
      </w:r>
      <w:r w:rsidR="009D3CAB">
        <w:rPr>
          <w:rFonts w:ascii="Times New Roman" w:hAnsi="Times New Roman" w:cs="Times New Roman"/>
          <w:sz w:val="24"/>
          <w:szCs w:val="24"/>
          <w:lang w:val="ru-RU"/>
        </w:rPr>
        <w:t>левое</w:t>
      </w:r>
      <w:r w:rsidRPr="00F06A08">
        <w:rPr>
          <w:rFonts w:ascii="Times New Roman" w:hAnsi="Times New Roman" w:cs="Times New Roman"/>
          <w:sz w:val="24"/>
          <w:szCs w:val="24"/>
          <w:lang w:val="ru-RU"/>
        </w:rPr>
        <w:t xml:space="preserve"> – на второй день. Болей в коленях, препятствующих педалированию, она не испытывала, не считая боли после ушиба. Тейп-ленту пришлось снять при оказании первой помощи.</w:t>
      </w:r>
    </w:p>
    <w:p w:rsidR="006123C3" w:rsidRPr="00F06A08" w:rsidRDefault="006123C3" w:rsidP="006123C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06A08">
        <w:rPr>
          <w:rFonts w:ascii="Times New Roman" w:hAnsi="Times New Roman" w:cs="Times New Roman"/>
          <w:sz w:val="24"/>
          <w:szCs w:val="24"/>
          <w:lang w:val="ru-RU"/>
        </w:rPr>
        <w:t>Другая участни</w:t>
      </w:r>
      <w:r w:rsidR="00F06A08" w:rsidRPr="00F06A08">
        <w:rPr>
          <w:rFonts w:ascii="Times New Roman" w:hAnsi="Times New Roman" w:cs="Times New Roman"/>
          <w:sz w:val="24"/>
          <w:szCs w:val="24"/>
          <w:lang w:val="ru-RU"/>
        </w:rPr>
        <w:t>ца с первого дня похода бинтовала</w:t>
      </w:r>
      <w:r w:rsidRPr="00F06A08">
        <w:rPr>
          <w:rFonts w:ascii="Times New Roman" w:hAnsi="Times New Roman" w:cs="Times New Roman"/>
          <w:sz w:val="24"/>
          <w:szCs w:val="24"/>
          <w:lang w:val="ru-RU"/>
        </w:rPr>
        <w:t xml:space="preserve"> левое колено эластичны</w:t>
      </w:r>
      <w:r w:rsidR="00F06A08" w:rsidRPr="00F06A0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F06A08">
        <w:rPr>
          <w:rFonts w:ascii="Times New Roman" w:hAnsi="Times New Roman" w:cs="Times New Roman"/>
          <w:sz w:val="24"/>
          <w:szCs w:val="24"/>
          <w:lang w:val="ru-RU"/>
        </w:rPr>
        <w:t xml:space="preserve"> бинт</w:t>
      </w:r>
      <w:r w:rsidR="00F06A08" w:rsidRPr="00F06A0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F06A0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C4C93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F06A08">
        <w:rPr>
          <w:rFonts w:ascii="Times New Roman" w:hAnsi="Times New Roman" w:cs="Times New Roman"/>
          <w:sz w:val="24"/>
          <w:szCs w:val="24"/>
          <w:lang w:val="ru-RU"/>
        </w:rPr>
        <w:t xml:space="preserve">гда </w:t>
      </w:r>
      <w:r w:rsidR="00DC4C9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DC4C93" w:rsidRPr="00F06A08">
        <w:rPr>
          <w:rFonts w:ascii="Times New Roman" w:hAnsi="Times New Roman" w:cs="Times New Roman"/>
          <w:sz w:val="24"/>
          <w:szCs w:val="24"/>
          <w:lang w:val="ru-RU"/>
        </w:rPr>
        <w:t>четвёртый день</w:t>
      </w:r>
      <w:r w:rsidR="00DC4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6A08">
        <w:rPr>
          <w:rFonts w:ascii="Times New Roman" w:hAnsi="Times New Roman" w:cs="Times New Roman"/>
          <w:sz w:val="24"/>
          <w:szCs w:val="24"/>
          <w:lang w:val="ru-RU"/>
        </w:rPr>
        <w:t xml:space="preserve">начало немного болеть второе колено (предположительно, боковая </w:t>
      </w:r>
      <w:r w:rsidRPr="00F06A08">
        <w:rPr>
          <w:rFonts w:ascii="Times New Roman" w:hAnsi="Times New Roman" w:cs="Times New Roman"/>
          <w:sz w:val="24"/>
          <w:szCs w:val="24"/>
          <w:lang w:val="ru-RU"/>
        </w:rPr>
        <w:lastRenderedPageBreak/>
        <w:t>связка сустава), решила воспользоваться тейп-лентой, наклеив её на оба колена, при этом на левое наложила эластичный бинт поверх ленты. Кроме этого</w:t>
      </w:r>
      <w:r w:rsidR="00F06A08" w:rsidRPr="00F06A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06A08">
        <w:rPr>
          <w:rFonts w:ascii="Times New Roman" w:hAnsi="Times New Roman" w:cs="Times New Roman"/>
          <w:sz w:val="24"/>
          <w:szCs w:val="24"/>
          <w:lang w:val="ru-RU"/>
        </w:rPr>
        <w:t xml:space="preserve"> следила за нагрузкой, на крутых подъёмах спешивалась, старалась употреблять достаточное количество жидкости. В итоге бол</w:t>
      </w:r>
      <w:r w:rsidR="00DC4C9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D3CAB">
        <w:rPr>
          <w:rFonts w:ascii="Times New Roman" w:hAnsi="Times New Roman" w:cs="Times New Roman"/>
          <w:sz w:val="24"/>
          <w:szCs w:val="24"/>
          <w:lang w:val="ru-RU"/>
        </w:rPr>
        <w:t xml:space="preserve"> в коленях</w:t>
      </w:r>
      <w:r w:rsidR="00F06A08">
        <w:rPr>
          <w:rFonts w:ascii="Times New Roman" w:hAnsi="Times New Roman" w:cs="Times New Roman"/>
          <w:sz w:val="24"/>
          <w:szCs w:val="24"/>
          <w:lang w:val="ru-RU"/>
        </w:rPr>
        <w:t>, превышающ</w:t>
      </w:r>
      <w:r w:rsidR="00DC4C93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F06A08">
        <w:rPr>
          <w:rFonts w:ascii="Times New Roman" w:hAnsi="Times New Roman" w:cs="Times New Roman"/>
          <w:sz w:val="24"/>
          <w:szCs w:val="24"/>
          <w:lang w:val="ru-RU"/>
        </w:rPr>
        <w:t xml:space="preserve"> чувство дискомфорта,</w:t>
      </w:r>
      <w:r w:rsidRPr="00F06A08">
        <w:rPr>
          <w:rFonts w:ascii="Times New Roman" w:hAnsi="Times New Roman" w:cs="Times New Roman"/>
          <w:sz w:val="24"/>
          <w:szCs w:val="24"/>
          <w:lang w:val="ru-RU"/>
        </w:rPr>
        <w:t xml:space="preserve"> удалось избежать, но сложно оценить роль в этом именно тейпирования. </w:t>
      </w:r>
    </w:p>
    <w:p w:rsidR="006123C3" w:rsidRPr="00206B82" w:rsidRDefault="006123C3" w:rsidP="006123C3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F06A08">
        <w:rPr>
          <w:rFonts w:ascii="Times New Roman" w:hAnsi="Times New Roman" w:cs="Times New Roman"/>
          <w:sz w:val="24"/>
          <w:szCs w:val="24"/>
          <w:lang w:val="ru-RU"/>
        </w:rPr>
        <w:t>Ещё один участник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движении на велосипеде 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наколенник. Жалоб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медику 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>на боли в суставе от него не поступало.</w:t>
      </w:r>
    </w:p>
    <w:p w:rsidR="00F868E1" w:rsidRPr="00206B82" w:rsidRDefault="00F868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A2511" w:rsidRPr="00206B82" w:rsidRDefault="005064F1" w:rsidP="00CB4EF5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sz w:val="24"/>
          <w:szCs w:val="24"/>
          <w:lang w:val="ru-RU"/>
        </w:rPr>
        <w:t>Пищевых отравлений не было, продукты закупались в магазинах</w:t>
      </w:r>
      <w:r w:rsidR="006A4889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0A2511" w:rsidRPr="00206B82">
        <w:rPr>
          <w:rFonts w:ascii="Times New Roman" w:hAnsi="Times New Roman" w:cs="Times New Roman"/>
          <w:sz w:val="24"/>
          <w:szCs w:val="24"/>
          <w:lang w:val="ru-RU"/>
        </w:rPr>
        <w:t>ода в основн</w:t>
      </w:r>
      <w:r w:rsidR="00BB5E18" w:rsidRPr="00206B82">
        <w:rPr>
          <w:rFonts w:ascii="Times New Roman" w:hAnsi="Times New Roman" w:cs="Times New Roman"/>
          <w:sz w:val="24"/>
          <w:szCs w:val="24"/>
          <w:lang w:val="ru-RU"/>
        </w:rPr>
        <w:t>ом употреблялась бутилированная</w:t>
      </w:r>
      <w:r w:rsidR="006A488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B5E18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889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BB5E18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раз набирали питьевую воду из родник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B5E18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, один раз промывали рис в морской воде (но варили в питьевой), </w:t>
      </w:r>
      <w:r w:rsidR="006A4889">
        <w:rPr>
          <w:rFonts w:ascii="Times New Roman" w:hAnsi="Times New Roman" w:cs="Times New Roman"/>
          <w:sz w:val="24"/>
          <w:szCs w:val="24"/>
          <w:lang w:val="ru-RU"/>
        </w:rPr>
        <w:t>однажды</w:t>
      </w:r>
      <w:r w:rsidR="00BB5E18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EF5">
        <w:rPr>
          <w:rFonts w:ascii="Times New Roman" w:hAnsi="Times New Roman" w:cs="Times New Roman"/>
          <w:sz w:val="24"/>
          <w:szCs w:val="24"/>
          <w:lang w:val="ru-RU"/>
        </w:rPr>
        <w:t>мыли купленые</w:t>
      </w:r>
      <w:r w:rsidR="00BB5E18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фрукты в проточной воде из ручья</w:t>
      </w:r>
      <w:r w:rsidR="00A05E4D">
        <w:rPr>
          <w:rFonts w:ascii="Times New Roman" w:hAnsi="Times New Roman" w:cs="Times New Roman"/>
          <w:sz w:val="24"/>
          <w:szCs w:val="24"/>
          <w:lang w:val="ru-RU"/>
        </w:rPr>
        <w:t xml:space="preserve"> – всё прошло без последствий</w:t>
      </w:r>
      <w:r w:rsidR="00BB5E18" w:rsidRPr="00206B8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A2511" w:rsidRPr="00206B82" w:rsidRDefault="000A251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064F1" w:rsidRDefault="005064F1" w:rsidP="00F65A0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Пока группа </w:t>
      </w:r>
      <w:r w:rsidR="00206B82" w:rsidRPr="00206B82">
        <w:rPr>
          <w:rFonts w:ascii="Times New Roman" w:hAnsi="Times New Roman" w:cs="Times New Roman"/>
          <w:sz w:val="24"/>
          <w:szCs w:val="24"/>
          <w:lang w:val="ru-RU"/>
        </w:rPr>
        <w:t>находилась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 на маршруте, в Крыму ввели масочный режим из-за обострения </w:t>
      </w:r>
      <w:r w:rsidR="00206B82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в республике </w:t>
      </w:r>
      <w:r w:rsidRPr="00206B82">
        <w:rPr>
          <w:rFonts w:ascii="Times New Roman" w:hAnsi="Times New Roman" w:cs="Times New Roman"/>
          <w:sz w:val="24"/>
          <w:szCs w:val="24"/>
          <w:lang w:val="ru-RU"/>
        </w:rPr>
        <w:t>эпидемиологической ситуации</w:t>
      </w:r>
      <w:r w:rsidR="00F65A0D" w:rsidRPr="00206B82">
        <w:rPr>
          <w:rFonts w:ascii="Times New Roman" w:hAnsi="Times New Roman" w:cs="Times New Roman"/>
          <w:sz w:val="24"/>
          <w:szCs w:val="24"/>
          <w:lang w:val="ru-RU"/>
        </w:rPr>
        <w:t xml:space="preserve">, связанной с </w:t>
      </w:r>
      <w:r w:rsidR="00F65A0D" w:rsidRPr="00206B8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65A0D" w:rsidRPr="00206B82">
        <w:rPr>
          <w:rFonts w:ascii="Times New Roman" w:hAnsi="Times New Roman" w:cs="Times New Roman"/>
          <w:sz w:val="24"/>
          <w:szCs w:val="24"/>
          <w:lang w:val="ru-RU"/>
        </w:rPr>
        <w:t>-19. Участники похода, посещая общественные места (в основном, продуктовые магазины), соблюдали предписанные меры инфекционной безопасности.</w:t>
      </w:r>
    </w:p>
    <w:p w:rsidR="00F06A08" w:rsidRDefault="00F06A08" w:rsidP="00F65A0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F06A08" w:rsidRPr="00A05E4D" w:rsidRDefault="00A05E4D" w:rsidP="00A05E4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5E4D">
        <w:rPr>
          <w:rFonts w:ascii="Times New Roman" w:hAnsi="Times New Roman" w:cs="Times New Roman"/>
          <w:b/>
          <w:sz w:val="24"/>
          <w:szCs w:val="24"/>
          <w:lang w:val="ru-RU"/>
        </w:rPr>
        <w:t>4. Выводы и рекомендации</w:t>
      </w:r>
    </w:p>
    <w:p w:rsidR="00A05E4D" w:rsidRDefault="00A05E4D" w:rsidP="00F65A0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A05E4D" w:rsidRDefault="00A05E4D" w:rsidP="00F65A0D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целом в медицинском отношении проход прошёл удачно. Заболеваний и серьёзных травм удалось избежать</w:t>
      </w:r>
      <w:r w:rsidR="00CD16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6A08" w:rsidRPr="00206B82" w:rsidRDefault="00CD163E" w:rsidP="00CD163E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 конкретных рекомендаций – использовать велоперчатки с закрытыми пальцами. </w:t>
      </w:r>
      <w:r w:rsidR="00A72088">
        <w:rPr>
          <w:rFonts w:ascii="Times New Roman" w:hAnsi="Times New Roman" w:cs="Times New Roman"/>
          <w:sz w:val="24"/>
          <w:szCs w:val="24"/>
          <w:lang w:val="ru-RU"/>
        </w:rPr>
        <w:t>От у</w:t>
      </w:r>
      <w:r w:rsidR="002451A9">
        <w:rPr>
          <w:rFonts w:ascii="Times New Roman" w:hAnsi="Times New Roman" w:cs="Times New Roman"/>
          <w:sz w:val="24"/>
          <w:szCs w:val="24"/>
          <w:lang w:val="ru-RU"/>
        </w:rPr>
        <w:t xml:space="preserve">частниц </w:t>
      </w:r>
      <w:r w:rsidR="00DC4C9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2451A9">
        <w:rPr>
          <w:rFonts w:ascii="Times New Roman" w:hAnsi="Times New Roman" w:cs="Times New Roman"/>
          <w:sz w:val="24"/>
          <w:szCs w:val="24"/>
          <w:lang w:val="ru-RU"/>
        </w:rPr>
        <w:t xml:space="preserve"> полуперчатка</w:t>
      </w:r>
      <w:r w:rsidR="00DC4C93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2451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2088">
        <w:rPr>
          <w:rFonts w:ascii="Times New Roman" w:hAnsi="Times New Roman" w:cs="Times New Roman"/>
          <w:sz w:val="24"/>
          <w:szCs w:val="24"/>
          <w:lang w:val="ru-RU"/>
        </w:rPr>
        <w:t>поступали жалобы</w:t>
      </w:r>
      <w:r w:rsidR="002451A9">
        <w:rPr>
          <w:rFonts w:ascii="Times New Roman" w:hAnsi="Times New Roman" w:cs="Times New Roman"/>
          <w:sz w:val="24"/>
          <w:szCs w:val="24"/>
          <w:lang w:val="ru-RU"/>
        </w:rPr>
        <w:t xml:space="preserve"> на мелкие повреждения кожи на кончиках пальцев</w:t>
      </w:r>
      <w:r w:rsidR="00052F5D">
        <w:rPr>
          <w:rFonts w:ascii="Times New Roman" w:hAnsi="Times New Roman" w:cs="Times New Roman"/>
          <w:sz w:val="24"/>
          <w:szCs w:val="24"/>
          <w:lang w:val="ru-RU"/>
        </w:rPr>
        <w:t xml:space="preserve">. По всей видимости, это связано с тем, что </w:t>
      </w:r>
      <w:r w:rsidR="002451A9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ри </w:t>
      </w:r>
      <w:r w:rsidR="00052F5D">
        <w:rPr>
          <w:rFonts w:ascii="Times New Roman" w:hAnsi="Times New Roman" w:cs="Times New Roman"/>
          <w:sz w:val="24"/>
          <w:szCs w:val="24"/>
          <w:lang w:val="ru-RU"/>
        </w:rPr>
        <w:t>езде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велосипеде </w:t>
      </w:r>
      <w:r w:rsidR="002451A9">
        <w:rPr>
          <w:rFonts w:ascii="Times New Roman" w:hAnsi="Times New Roman" w:cs="Times New Roman"/>
          <w:sz w:val="24"/>
          <w:szCs w:val="24"/>
          <w:lang w:val="ru-RU"/>
        </w:rPr>
        <w:t xml:space="preserve">нежная </w:t>
      </w:r>
      <w:r>
        <w:rPr>
          <w:rFonts w:ascii="Times New Roman" w:hAnsi="Times New Roman" w:cs="Times New Roman"/>
          <w:sz w:val="24"/>
          <w:szCs w:val="24"/>
          <w:lang w:val="ru-RU"/>
        </w:rPr>
        <w:t>кожа пальцев обветривается и 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рескается</w:t>
      </w:r>
      <w:r w:rsidR="00DC4C9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C4C93" w:rsidRPr="00A7208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72088">
        <w:rPr>
          <w:rFonts w:ascii="Times New Roman" w:hAnsi="Times New Roman" w:cs="Times New Roman"/>
          <w:sz w:val="24"/>
          <w:szCs w:val="24"/>
          <w:lang w:val="ru-RU"/>
        </w:rPr>
        <w:t>анки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воспаляются, </w:t>
      </w:r>
      <w:r w:rsidR="008009D7">
        <w:rPr>
          <w:rFonts w:ascii="Times New Roman" w:hAnsi="Times New Roman" w:cs="Times New Roman"/>
          <w:sz w:val="24"/>
          <w:szCs w:val="24"/>
          <w:lang w:val="ru-RU"/>
        </w:rPr>
        <w:t>что приводит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дискомфорт</w:t>
      </w:r>
      <w:r w:rsidR="008009D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72088">
        <w:rPr>
          <w:rFonts w:ascii="Times New Roman" w:hAnsi="Times New Roman" w:cs="Times New Roman"/>
          <w:sz w:val="24"/>
          <w:szCs w:val="24"/>
          <w:lang w:val="ru-RU"/>
        </w:rPr>
        <w:t>, превышающ</w:t>
      </w:r>
      <w:r w:rsidR="008009D7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="00A72088">
        <w:rPr>
          <w:rFonts w:ascii="Times New Roman" w:hAnsi="Times New Roman" w:cs="Times New Roman"/>
          <w:sz w:val="24"/>
          <w:szCs w:val="24"/>
          <w:lang w:val="ru-RU"/>
        </w:rPr>
        <w:t xml:space="preserve"> неудобство </w:t>
      </w:r>
      <w:r w:rsidR="00040AB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72088">
        <w:rPr>
          <w:rFonts w:ascii="Times New Roman" w:hAnsi="Times New Roman" w:cs="Times New Roman"/>
          <w:sz w:val="24"/>
          <w:szCs w:val="24"/>
          <w:lang w:val="ru-RU"/>
        </w:rPr>
        <w:t xml:space="preserve"> ношени</w:t>
      </w:r>
      <w:r w:rsidR="00040AB6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72088">
        <w:rPr>
          <w:rFonts w:ascii="Times New Roman" w:hAnsi="Times New Roman" w:cs="Times New Roman"/>
          <w:sz w:val="24"/>
          <w:szCs w:val="24"/>
          <w:lang w:val="ru-RU"/>
        </w:rPr>
        <w:t xml:space="preserve"> перчаток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F06A08" w:rsidRPr="00206B82" w:rsidSect="00DA0C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EE" w:rsidRDefault="00C672EE" w:rsidP="00206B82">
      <w:r>
        <w:separator/>
      </w:r>
    </w:p>
  </w:endnote>
  <w:endnote w:type="continuationSeparator" w:id="0">
    <w:p w:rsidR="00C672EE" w:rsidRDefault="00C672EE" w:rsidP="0020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EE" w:rsidRDefault="00C672EE" w:rsidP="00206B82">
      <w:r>
        <w:separator/>
      </w:r>
    </w:p>
  </w:footnote>
  <w:footnote w:type="continuationSeparator" w:id="0">
    <w:p w:rsidR="00C672EE" w:rsidRDefault="00C672EE" w:rsidP="00206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4"/>
    <w:rsid w:val="00040AB6"/>
    <w:rsid w:val="00046CDC"/>
    <w:rsid w:val="00052F5D"/>
    <w:rsid w:val="000A2511"/>
    <w:rsid w:val="00130440"/>
    <w:rsid w:val="001C5F3C"/>
    <w:rsid w:val="001F5241"/>
    <w:rsid w:val="00206B82"/>
    <w:rsid w:val="00211E54"/>
    <w:rsid w:val="002451A9"/>
    <w:rsid w:val="00272FCB"/>
    <w:rsid w:val="00285300"/>
    <w:rsid w:val="0029460D"/>
    <w:rsid w:val="002D0893"/>
    <w:rsid w:val="00303DB8"/>
    <w:rsid w:val="003A7883"/>
    <w:rsid w:val="003C336A"/>
    <w:rsid w:val="003F4CAC"/>
    <w:rsid w:val="00416BFF"/>
    <w:rsid w:val="004809F3"/>
    <w:rsid w:val="004C257C"/>
    <w:rsid w:val="005064F1"/>
    <w:rsid w:val="00510E51"/>
    <w:rsid w:val="00550BDC"/>
    <w:rsid w:val="00575394"/>
    <w:rsid w:val="005D3786"/>
    <w:rsid w:val="006123C3"/>
    <w:rsid w:val="006A4889"/>
    <w:rsid w:val="00717A38"/>
    <w:rsid w:val="00723B2A"/>
    <w:rsid w:val="00790B9E"/>
    <w:rsid w:val="007D6917"/>
    <w:rsid w:val="008009D7"/>
    <w:rsid w:val="008D2D3F"/>
    <w:rsid w:val="00993E5F"/>
    <w:rsid w:val="009B150C"/>
    <w:rsid w:val="009D3CAB"/>
    <w:rsid w:val="00A05E4D"/>
    <w:rsid w:val="00A72088"/>
    <w:rsid w:val="00A828A3"/>
    <w:rsid w:val="00AF4095"/>
    <w:rsid w:val="00B31EDC"/>
    <w:rsid w:val="00B75ACF"/>
    <w:rsid w:val="00BB5E18"/>
    <w:rsid w:val="00BC7046"/>
    <w:rsid w:val="00BD5C3E"/>
    <w:rsid w:val="00BE2A14"/>
    <w:rsid w:val="00C672EE"/>
    <w:rsid w:val="00C83970"/>
    <w:rsid w:val="00CB4EF5"/>
    <w:rsid w:val="00CD163E"/>
    <w:rsid w:val="00DA0C06"/>
    <w:rsid w:val="00DC4C93"/>
    <w:rsid w:val="00E75305"/>
    <w:rsid w:val="00E972BB"/>
    <w:rsid w:val="00EB37DF"/>
    <w:rsid w:val="00F06A08"/>
    <w:rsid w:val="00F4118E"/>
    <w:rsid w:val="00F65A0D"/>
    <w:rsid w:val="00F74FF0"/>
    <w:rsid w:val="00F8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A5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F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06B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82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6B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82"/>
    <w:rPr>
      <w:rFonts w:ascii="Arial" w:hAnsi="Arial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DA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F0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06B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82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6B8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82"/>
    <w:rPr>
      <w:rFonts w:ascii="Arial" w:hAnsi="Arial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DA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2A7E8-A1D6-445A-B315-7F759F42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23</cp:revision>
  <dcterms:created xsi:type="dcterms:W3CDTF">2020-10-31T14:27:00Z</dcterms:created>
  <dcterms:modified xsi:type="dcterms:W3CDTF">2020-11-23T17:53:00Z</dcterms:modified>
</cp:coreProperties>
</file>