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76" w:rsidRDefault="00A52876" w:rsidP="00A528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BE">
        <w:rPr>
          <w:rFonts w:ascii="Times New Roman" w:hAnsi="Times New Roman" w:cs="Times New Roman"/>
          <w:b/>
          <w:sz w:val="28"/>
          <w:szCs w:val="28"/>
        </w:rPr>
        <w:t>Медицинский отчёт</w:t>
      </w:r>
      <w:r w:rsidR="00FE5EBE">
        <w:rPr>
          <w:rFonts w:ascii="Times New Roman" w:hAnsi="Times New Roman" w:cs="Times New Roman"/>
          <w:b/>
          <w:sz w:val="28"/>
          <w:szCs w:val="28"/>
        </w:rPr>
        <w:t>.</w:t>
      </w:r>
    </w:p>
    <w:p w:rsidR="00A52876" w:rsidRDefault="00A52876" w:rsidP="00F02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Серьезных травм и обострения хронических заболеваний за время похода не произошло.</w:t>
      </w:r>
      <w:r w:rsidR="00F023DC">
        <w:rPr>
          <w:rFonts w:ascii="Times New Roman" w:hAnsi="Times New Roman" w:cs="Times New Roman"/>
          <w:sz w:val="28"/>
          <w:szCs w:val="28"/>
        </w:rPr>
        <w:t xml:space="preserve"> Мелкие царапины и синяки не требовали медицинской помощи.</w:t>
      </w:r>
      <w:r w:rsidR="0038508E">
        <w:rPr>
          <w:rFonts w:ascii="Times New Roman" w:hAnsi="Times New Roman" w:cs="Times New Roman"/>
          <w:sz w:val="28"/>
          <w:szCs w:val="28"/>
        </w:rPr>
        <w:t xml:space="preserve"> В солнечную погоду применялся защищающий </w:t>
      </w:r>
      <w:r w:rsidR="0038508E">
        <w:rPr>
          <w:rFonts w:ascii="Times New Roman" w:hAnsi="Times New Roman" w:cs="Times New Roman"/>
          <w:sz w:val="28"/>
          <w:szCs w:val="28"/>
        </w:rPr>
        <w:t>от сол</w:t>
      </w:r>
      <w:r w:rsidR="0038508E">
        <w:rPr>
          <w:rFonts w:ascii="Times New Roman" w:hAnsi="Times New Roman" w:cs="Times New Roman"/>
          <w:sz w:val="28"/>
          <w:szCs w:val="28"/>
        </w:rPr>
        <w:t>нца</w:t>
      </w:r>
      <w:r w:rsidR="0038508E">
        <w:rPr>
          <w:rFonts w:ascii="Times New Roman" w:hAnsi="Times New Roman" w:cs="Times New Roman"/>
          <w:sz w:val="28"/>
          <w:szCs w:val="28"/>
        </w:rPr>
        <w:t xml:space="preserve"> </w:t>
      </w:r>
      <w:r w:rsidR="0038508E">
        <w:rPr>
          <w:rFonts w:ascii="Times New Roman" w:hAnsi="Times New Roman" w:cs="Times New Roman"/>
          <w:sz w:val="28"/>
          <w:szCs w:val="28"/>
        </w:rPr>
        <w:t xml:space="preserve">крем. </w:t>
      </w:r>
    </w:p>
    <w:p w:rsidR="00A52876" w:rsidRDefault="00FE5EBE" w:rsidP="00660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а</w:t>
      </w:r>
      <w:r>
        <w:rPr>
          <w:rFonts w:ascii="Times New Roman" w:hAnsi="Times New Roman" w:cs="Times New Roman"/>
          <w:sz w:val="28"/>
          <w:szCs w:val="28"/>
        </w:rPr>
        <w:t xml:space="preserve">птечка была собрана на основе аптечки </w:t>
      </w:r>
      <w:r w:rsidR="00F023DC">
        <w:rPr>
          <w:rFonts w:ascii="Times New Roman" w:hAnsi="Times New Roman" w:cs="Times New Roman"/>
          <w:sz w:val="28"/>
          <w:szCs w:val="28"/>
        </w:rPr>
        <w:t>предоставленной друзьями</w:t>
      </w:r>
      <w:r>
        <w:rPr>
          <w:rFonts w:ascii="Times New Roman" w:hAnsi="Times New Roman" w:cs="Times New Roman"/>
          <w:sz w:val="28"/>
          <w:szCs w:val="28"/>
        </w:rPr>
        <w:t xml:space="preserve"> из РКВ. Т.к. имеющаяся аптечка была собрана </w:t>
      </w:r>
      <w:r>
        <w:rPr>
          <w:rFonts w:ascii="Times New Roman" w:hAnsi="Times New Roman" w:cs="Times New Roman"/>
          <w:sz w:val="28"/>
          <w:szCs w:val="28"/>
        </w:rPr>
        <w:t>для более се</w:t>
      </w:r>
      <w:r>
        <w:rPr>
          <w:rFonts w:ascii="Times New Roman" w:hAnsi="Times New Roman" w:cs="Times New Roman"/>
          <w:sz w:val="28"/>
          <w:szCs w:val="28"/>
        </w:rPr>
        <w:t>рьезных походов, то решено было ее сократить вдвое</w:t>
      </w:r>
      <w:r w:rsidR="0066013C">
        <w:rPr>
          <w:rFonts w:ascii="Times New Roman" w:hAnsi="Times New Roman" w:cs="Times New Roman"/>
          <w:sz w:val="28"/>
          <w:szCs w:val="28"/>
        </w:rPr>
        <w:t>, тем более что</w:t>
      </w:r>
      <w:r w:rsidR="00A52876">
        <w:rPr>
          <w:rFonts w:ascii="Times New Roman" w:hAnsi="Times New Roman" w:cs="Times New Roman"/>
          <w:sz w:val="28"/>
          <w:szCs w:val="28"/>
        </w:rPr>
        <w:t xml:space="preserve"> маршрут проходил по населенной местности и </w:t>
      </w:r>
      <w:r>
        <w:rPr>
          <w:rFonts w:ascii="Times New Roman" w:hAnsi="Times New Roman" w:cs="Times New Roman"/>
          <w:sz w:val="28"/>
          <w:szCs w:val="28"/>
        </w:rPr>
        <w:t>каждые 1-2 дня встречались населенные пункты</w:t>
      </w:r>
      <w:r w:rsidR="0066013C">
        <w:rPr>
          <w:rFonts w:ascii="Times New Roman" w:hAnsi="Times New Roman" w:cs="Times New Roman"/>
          <w:sz w:val="28"/>
          <w:szCs w:val="28"/>
        </w:rPr>
        <w:t xml:space="preserve"> и была возможность ее </w:t>
      </w:r>
      <w:r w:rsidR="00F023DC">
        <w:rPr>
          <w:rFonts w:ascii="Times New Roman" w:hAnsi="Times New Roman" w:cs="Times New Roman"/>
          <w:sz w:val="28"/>
          <w:szCs w:val="28"/>
        </w:rPr>
        <w:t>пополнять.</w:t>
      </w:r>
      <w:r w:rsidR="0038508E">
        <w:rPr>
          <w:rFonts w:ascii="Times New Roman" w:hAnsi="Times New Roman" w:cs="Times New Roman"/>
          <w:sz w:val="28"/>
          <w:szCs w:val="28"/>
        </w:rPr>
        <w:t xml:space="preserve"> Аптечка представляла сбой герметичный контейнер для пищевых продуктов, ее вес составил менее 1 кг.</w:t>
      </w:r>
      <w:bookmarkStart w:id="0" w:name="_GoBack"/>
      <w:bookmarkEnd w:id="0"/>
    </w:p>
    <w:p w:rsidR="00A52876" w:rsidRDefault="00A52876" w:rsidP="00A52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5BD">
        <w:rPr>
          <w:rFonts w:ascii="Times New Roman" w:hAnsi="Times New Roman" w:cs="Times New Roman"/>
          <w:sz w:val="28"/>
          <w:szCs w:val="28"/>
        </w:rPr>
        <w:t xml:space="preserve">Состав медицинской аптечки.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Показания к применению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Перевязочные средства</w:t>
            </w:r>
          </w:p>
        </w:tc>
        <w:tc>
          <w:tcPr>
            <w:tcW w:w="3115" w:type="dxa"/>
          </w:tcPr>
          <w:p w:rsidR="00A52876" w:rsidRDefault="00A52876" w:rsidP="00A52876"/>
        </w:tc>
        <w:tc>
          <w:tcPr>
            <w:tcW w:w="3115" w:type="dxa"/>
          </w:tcPr>
          <w:p w:rsidR="00A52876" w:rsidRDefault="00A52876" w:rsidP="00A52876"/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7*14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5*10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Стерильные салфетки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(10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Повязка пластырного типа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Жгут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эластичный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 катушка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Ножнички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перевязке незаменимы, лучше чтоб лежали с перевязочными</w:t>
            </w:r>
          </w:p>
        </w:tc>
      </w:tr>
      <w:tr w:rsidR="00FE5EBE" w:rsidTr="0048275E">
        <w:tc>
          <w:tcPr>
            <w:tcW w:w="9345" w:type="dxa"/>
            <w:gridSpan w:val="3"/>
            <w:vAlign w:val="center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Дезинфицирующие средства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 баночка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околорановой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 поверхностей. Обработка ран (в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глубоких)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Гидроперит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Приготовление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дез.раствора</w:t>
            </w:r>
            <w:proofErr w:type="spellEnd"/>
          </w:p>
        </w:tc>
      </w:tr>
      <w:tr w:rsidR="00FE5EBE" w:rsidTr="00DC00F3">
        <w:tc>
          <w:tcPr>
            <w:tcW w:w="9345" w:type="dxa"/>
            <w:gridSpan w:val="3"/>
            <w:vAlign w:val="center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Обезболивающие, противовоспалительные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Кетонал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капсулы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&lt;=25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Обезболивающее сильное (Симптоматическая терапия болезненных и воспалительных процессов)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Кетанов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Обезболивающее сильное (Болевой синдром сильной и умеренной выраженности)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Аспирин экспресс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 таблетки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Противовоспалительное, жаропонижающее, обезболивающее, быстрого действия. умеренно или слабо выраженный болевой синдром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Противовоспалительное, жаропонижающее, обезболивающее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Противовоспалительное, жаропонижающее, обезболивающее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Темпалгин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Обезболивающее слабое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Индометацин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 тюбик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Противовоспалительное, обезболивающее (мазь)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Финалгон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 тюбик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Прогревающее, противовоспалительное, обезболивающее (мазь)</w:t>
            </w:r>
          </w:p>
        </w:tc>
      </w:tr>
      <w:tr w:rsidR="00FE5EBE" w:rsidTr="0026432E">
        <w:tc>
          <w:tcPr>
            <w:tcW w:w="9345" w:type="dxa"/>
            <w:gridSpan w:val="3"/>
            <w:vAlign w:val="bottom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Антигистаминные, спазмолитики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Спазмолитическое</w:t>
            </w:r>
          </w:p>
        </w:tc>
      </w:tr>
      <w:tr w:rsidR="00A52876" w:rsidTr="00686788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Лоротадин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Противоаллергическое</w:t>
            </w:r>
          </w:p>
        </w:tc>
      </w:tr>
      <w:tr w:rsidR="00A52876" w:rsidTr="00B40761">
        <w:tc>
          <w:tcPr>
            <w:tcW w:w="3115" w:type="dxa"/>
            <w:vAlign w:val="bottom"/>
          </w:tcPr>
          <w:p w:rsidR="00A52876" w:rsidRPr="00A52876" w:rsidRDefault="00A52876" w:rsidP="00A52876">
            <w:pP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Супрастин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Противоаллергическое</w:t>
            </w:r>
          </w:p>
        </w:tc>
      </w:tr>
      <w:tr w:rsidR="00A52876" w:rsidTr="00B40761">
        <w:tc>
          <w:tcPr>
            <w:tcW w:w="3115" w:type="dxa"/>
            <w:vAlign w:val="bottom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Антибиотики, противовирусные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Римантадин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Противовирусное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Йодантипирин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Противовирусное (в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тч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профилактика и лечение клещевого энцефалита)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Исмиген</w:t>
            </w:r>
            <w:proofErr w:type="spellEnd"/>
          </w:p>
        </w:tc>
        <w:tc>
          <w:tcPr>
            <w:tcW w:w="3115" w:type="dxa"/>
            <w:vAlign w:val="bottom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Иммуностимулирующее</w:t>
            </w:r>
          </w:p>
        </w:tc>
      </w:tr>
      <w:tr w:rsidR="00FE5EBE" w:rsidTr="00135524">
        <w:tc>
          <w:tcPr>
            <w:tcW w:w="9345" w:type="dxa"/>
            <w:gridSpan w:val="3"/>
            <w:vAlign w:val="bottom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для сердечно – сосудистой системы, водно-солевой обмен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Нитрокор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(нитроглицерин)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по 0,5 мг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Экстренное средство помощи при сердечном приступе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EBE" w:rsidTr="00B234BE">
        <w:tc>
          <w:tcPr>
            <w:tcW w:w="9345" w:type="dxa"/>
            <w:gridSpan w:val="3"/>
            <w:vAlign w:val="bottom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желудочно</w:t>
            </w:r>
            <w:proofErr w:type="spellEnd"/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– кишечного тракта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Активированный уголь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отравлениях, расстройствах ЖКТ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Лоперамид-Акри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диарее</w:t>
            </w:r>
          </w:p>
        </w:tc>
      </w:tr>
      <w:tr w:rsidR="00A52876" w:rsidTr="00B40761">
        <w:tc>
          <w:tcPr>
            <w:tcW w:w="3115" w:type="dxa"/>
            <w:vAlign w:val="bottom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3г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изжоге</w:t>
            </w:r>
          </w:p>
        </w:tc>
      </w:tr>
      <w:tr w:rsidR="00FE5EBE" w:rsidTr="00D11E75">
        <w:tc>
          <w:tcPr>
            <w:tcW w:w="9345" w:type="dxa"/>
            <w:gridSpan w:val="3"/>
            <w:vAlign w:val="bottom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для органов дыхания, зрения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Альбуцид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 флакончик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лечения воспалительных процессов в глазах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Салфетки с нашатырем</w:t>
            </w:r>
          </w:p>
        </w:tc>
        <w:tc>
          <w:tcPr>
            <w:tcW w:w="3115" w:type="dxa"/>
            <w:vAlign w:val="bottom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обморочных состояниях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-фри экспресс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120мл.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глаз (для контактных линз)</w:t>
            </w:r>
          </w:p>
        </w:tc>
      </w:tr>
      <w:tr w:rsidR="00FE5EBE" w:rsidTr="00844BA2">
        <w:tc>
          <w:tcPr>
            <w:tcW w:w="9345" w:type="dxa"/>
            <w:gridSpan w:val="3"/>
            <w:vAlign w:val="bottom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для лечения кожных покровов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</w:p>
        </w:tc>
        <w:tc>
          <w:tcPr>
            <w:tcW w:w="3115" w:type="dxa"/>
            <w:vAlign w:val="bottom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 тюбик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Гнойные раны</w:t>
            </w:r>
          </w:p>
        </w:tc>
      </w:tr>
      <w:tr w:rsidR="00A52876" w:rsidTr="00B40761">
        <w:tc>
          <w:tcPr>
            <w:tcW w:w="3115" w:type="dxa"/>
            <w:vAlign w:val="bottom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Пантенол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тюбик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Ожоги, повреждения кожного покрова</w:t>
            </w:r>
          </w:p>
        </w:tc>
      </w:tr>
      <w:tr w:rsidR="00A52876" w:rsidTr="00B40761">
        <w:tc>
          <w:tcPr>
            <w:tcW w:w="3115" w:type="dxa"/>
            <w:vAlign w:val="bottom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крем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тюбик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Потертости, опрелости, финалгон снимать</w:t>
            </w:r>
          </w:p>
        </w:tc>
      </w:tr>
      <w:tr w:rsidR="00FE5EBE" w:rsidTr="00FD38BE">
        <w:tc>
          <w:tcPr>
            <w:tcW w:w="9345" w:type="dxa"/>
            <w:gridSpan w:val="3"/>
            <w:vAlign w:val="bottom"/>
          </w:tcPr>
          <w:p w:rsidR="00FE5EBE" w:rsidRPr="00A52876" w:rsidRDefault="00FE5EBE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Инструменты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Пипетка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Напальчник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Клещедер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Лезвия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52876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Булавки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Термометр электронный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Ватные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палоски</w:t>
            </w:r>
            <w:proofErr w:type="spellEnd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диски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~10 </w:t>
            </w:r>
            <w:proofErr w:type="spellStart"/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76" w:rsidTr="00B40761"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Перчатки латексные (у Алексея)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несколько пар</w:t>
            </w:r>
          </w:p>
        </w:tc>
        <w:tc>
          <w:tcPr>
            <w:tcW w:w="3115" w:type="dxa"/>
            <w:vAlign w:val="center"/>
          </w:tcPr>
          <w:p w:rsidR="00A52876" w:rsidRPr="00A52876" w:rsidRDefault="00A52876" w:rsidP="00A5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2876" w:rsidRDefault="00A52876"/>
    <w:p w:rsidR="00A52876" w:rsidRDefault="00A52876"/>
    <w:tbl>
      <w:tblPr>
        <w:tblW w:w="3140" w:type="dxa"/>
        <w:tblLook w:val="04A0" w:firstRow="1" w:lastRow="0" w:firstColumn="1" w:lastColumn="0" w:noHBand="0" w:noVBand="1"/>
      </w:tblPr>
      <w:tblGrid>
        <w:gridCol w:w="3140"/>
      </w:tblGrid>
      <w:tr w:rsidR="00FE5EBE" w:rsidRPr="00FE5EBE" w:rsidTr="00FE5EBE">
        <w:trPr>
          <w:trHeight w:val="315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BE" w:rsidRPr="00FE5EBE" w:rsidRDefault="00FE5EBE" w:rsidP="00F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5E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 каждого</w:t>
            </w:r>
          </w:p>
        </w:tc>
      </w:tr>
      <w:tr w:rsidR="00FE5EBE" w:rsidRPr="00FE5EBE" w:rsidTr="00FE5EBE">
        <w:trPr>
          <w:trHeight w:val="315"/>
        </w:trPr>
        <w:tc>
          <w:tcPr>
            <w:tcW w:w="31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BE" w:rsidRPr="00FE5EBE" w:rsidRDefault="00FE5EBE" w:rsidP="00FE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2шт</w:t>
            </w:r>
          </w:p>
        </w:tc>
      </w:tr>
      <w:tr w:rsidR="00FE5EBE" w:rsidRPr="00FE5EBE" w:rsidTr="00FE5EBE">
        <w:trPr>
          <w:trHeight w:val="315"/>
        </w:trPr>
        <w:tc>
          <w:tcPr>
            <w:tcW w:w="31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BE" w:rsidRPr="00FE5EBE" w:rsidRDefault="00FE5EBE" w:rsidP="00FE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</w:t>
            </w:r>
          </w:p>
        </w:tc>
      </w:tr>
      <w:tr w:rsidR="00FE5EBE" w:rsidRPr="00FE5EBE" w:rsidTr="00FE5EBE">
        <w:trPr>
          <w:trHeight w:val="315"/>
        </w:trPr>
        <w:tc>
          <w:tcPr>
            <w:tcW w:w="31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BE" w:rsidRPr="00FE5EBE" w:rsidRDefault="00FE5EBE" w:rsidP="00FE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Перекись</w:t>
            </w:r>
          </w:p>
        </w:tc>
      </w:tr>
      <w:tr w:rsidR="00FE5EBE" w:rsidRPr="00FE5EBE" w:rsidTr="00FE5EBE">
        <w:trPr>
          <w:trHeight w:val="375"/>
        </w:trPr>
        <w:tc>
          <w:tcPr>
            <w:tcW w:w="31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BE" w:rsidRPr="00FE5EBE" w:rsidRDefault="00FE5EBE" w:rsidP="00FE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эластичный или наколенник</w:t>
            </w:r>
          </w:p>
        </w:tc>
      </w:tr>
      <w:tr w:rsidR="00FE5EBE" w:rsidRPr="00FE5EBE" w:rsidTr="00FE5EBE">
        <w:trPr>
          <w:trHeight w:val="315"/>
        </w:trPr>
        <w:tc>
          <w:tcPr>
            <w:tcW w:w="31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BE" w:rsidRPr="00FE5EBE" w:rsidRDefault="00FE5EBE" w:rsidP="00FE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Любимые мази и таблетки</w:t>
            </w:r>
          </w:p>
        </w:tc>
      </w:tr>
    </w:tbl>
    <w:p w:rsidR="00A52876" w:rsidRDefault="00A52876"/>
    <w:p w:rsidR="00A52876" w:rsidRDefault="00A52876"/>
    <w:sectPr w:rsidR="00A5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6"/>
    <w:rsid w:val="0038508E"/>
    <w:rsid w:val="006322A0"/>
    <w:rsid w:val="0066013C"/>
    <w:rsid w:val="00A52876"/>
    <w:rsid w:val="00F023DC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D9A"/>
  <w15:chartTrackingRefBased/>
  <w15:docId w15:val="{5AE7E401-0489-416C-9A3E-F8A8306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9AD6-8ED4-4188-B0E9-3D7B1C8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3</cp:revision>
  <dcterms:created xsi:type="dcterms:W3CDTF">2020-12-10T20:38:00Z</dcterms:created>
  <dcterms:modified xsi:type="dcterms:W3CDTF">2020-12-10T21:17:00Z</dcterms:modified>
</cp:coreProperties>
</file>